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677D1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 xml:space="preserve">расчета органами местного самоуправления </w:t>
      </w:r>
      <w:proofErr w:type="gramStart"/>
      <w:r w:rsidRPr="00A677D1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районов Омской области размера дотаций бюджетам поселений,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муниципальных районов Омской области,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на выравнивание бюджетной обеспеченности</w:t>
      </w:r>
    </w:p>
    <w:p w:rsidR="00672940" w:rsidRPr="00A677D1" w:rsidRDefault="00672940">
      <w:pPr>
        <w:spacing w:after="1"/>
        <w:rPr>
          <w:rFonts w:ascii="Times New Roman" w:hAnsi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1. Общий объем дотаций бюджету городского, сельского поселения Омской области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поселение) за счет субвенций бюджету муниципального района Омской области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дотации)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+ 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2. На первом этапе объем дотаций распределяется между i-ми поселениями 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D1537A">
        <w:rPr>
          <w:rFonts w:ascii="Times New Roman" w:hAnsi="Times New Roman" w:cs="Times New Roman"/>
          <w:sz w:val="28"/>
          <w:szCs w:val="28"/>
        </w:rPr>
        <w:t>численности</w:t>
      </w:r>
      <w:r w:rsidR="00D1537A" w:rsidRPr="00D1537A">
        <w:rPr>
          <w:rFonts w:ascii="Times New Roman" w:hAnsi="Times New Roman" w:cs="Times New Roman"/>
          <w:sz w:val="28"/>
          <w:szCs w:val="28"/>
        </w:rPr>
        <w:t xml:space="preserve"> </w:t>
      </w:r>
      <w:r w:rsidRPr="00D1537A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поселений и определяется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первом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</w:t>
      </w:r>
      <w:r w:rsidRPr="00D1537A">
        <w:rPr>
          <w:rFonts w:ascii="Times New Roman" w:hAnsi="Times New Roman" w:cs="Times New Roman"/>
          <w:sz w:val="28"/>
          <w:szCs w:val="28"/>
        </w:rPr>
        <w:t xml:space="preserve">численность 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Н </w:t>
      </w:r>
      <w:r w:rsidRPr="00D1537A">
        <w:rPr>
          <w:rFonts w:ascii="Times New Roman" w:hAnsi="Times New Roman" w:cs="Times New Roman"/>
          <w:sz w:val="28"/>
          <w:szCs w:val="28"/>
        </w:rPr>
        <w:t xml:space="preserve">- численность 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Численность постоянного</w:t>
      </w:r>
      <w:r w:rsidRPr="00A677D1">
        <w:rPr>
          <w:rFonts w:ascii="Times New Roman" w:hAnsi="Times New Roman" w:cs="Times New Roman"/>
          <w:sz w:val="28"/>
          <w:szCs w:val="28"/>
        </w:rPr>
        <w:t xml:space="preserve"> населения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 x С1,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A677D1" w:rsidRPr="00A677D1" w:rsidRDefault="00A677D1" w:rsidP="00A677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0296DA10" wp14:editId="70383DB0">
            <wp:extent cx="1866900" cy="533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O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O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Объем дотаций, распределяемый на t-ом этапе выравнивания 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расчетной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бюджетной обеспеченности поселений,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677D1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втором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</w:t>
      </w:r>
      <w:r w:rsidRPr="00A677D1">
        <w:rPr>
          <w:rFonts w:ascii="Times New Roman" w:hAnsi="Times New Roman" w:cs="Times New Roman"/>
          <w:sz w:val="28"/>
          <w:szCs w:val="28"/>
        </w:rPr>
        <w:lastRenderedPageBreak/>
        <w:t>выравнивания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 x С2,</w:t>
      </w: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 С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D1537A" w:rsidRDefault="00D1537A" w:rsidP="00A677D1">
      <w:pPr>
        <w:pStyle w:val="ConsPlusNormal"/>
        <w:ind w:firstLine="567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A677D1" w:rsidRPr="00D1537A" w:rsidRDefault="00A677D1" w:rsidP="00A677D1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О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D1537A">
        <w:rPr>
          <w:rFonts w:ascii="Times New Roman" w:hAnsi="Times New Roman" w:cs="Times New Roman"/>
          <w:sz w:val="28"/>
          <w:szCs w:val="28"/>
        </w:rPr>
        <w:t xml:space="preserve"> = Н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КРП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× ((НП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1537A">
        <w:rPr>
          <w:rFonts w:ascii="Times New Roman" w:hAnsi="Times New Roman" w:cs="Times New Roman"/>
          <w:sz w:val="28"/>
          <w:szCs w:val="28"/>
        </w:rPr>
        <w:t xml:space="preserve"> + Ф</w:t>
      </w:r>
      <w:proofErr w:type="gramStart"/>
      <w:r w:rsidRPr="00D1537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+ Ф2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D1537A">
        <w:rPr>
          <w:rFonts w:ascii="Times New Roman" w:hAnsi="Times New Roman" w:cs="Times New Roman"/>
          <w:sz w:val="28"/>
          <w:szCs w:val="28"/>
        </w:rPr>
        <w:t xml:space="preserve">) / Н) × </w:t>
      </w:r>
      <w:r w:rsidRPr="00D1537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D1537A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r w:rsidRPr="00D1537A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D1537A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КРП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НП - налоговый </w:t>
      </w:r>
      <w:r w:rsidRPr="00A677D1">
        <w:rPr>
          <w:rFonts w:ascii="Times New Roman" w:hAnsi="Times New Roman" w:cs="Times New Roman"/>
          <w:sz w:val="28"/>
          <w:szCs w:val="28"/>
        </w:rPr>
        <w:t>потенциал по всем поселениям муниципального района;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74EF8F79" wp14:editId="25600C05">
            <wp:extent cx="352425" cy="28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70B9E76B" wp14:editId="26EFD847">
            <wp:extent cx="1352550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 wp14:anchorId="5A48DE8E" wp14:editId="388EC15B">
            <wp:extent cx="2343150" cy="581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lastRenderedPageBreak/>
        <w:t>n - общее количество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proofErr w:type="gramEnd"/>
      <w:r w:rsidRPr="00D1537A">
        <w:rPr>
          <w:rFonts w:ascii="Times New Roman" w:hAnsi="Times New Roman" w:cs="Times New Roman"/>
          <w:sz w:val="28"/>
          <w:szCs w:val="28"/>
        </w:rPr>
        <w:t>= (((НП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+ Ф1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+ Ф2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D1537A">
        <w:rPr>
          <w:rFonts w:ascii="Times New Roman" w:hAnsi="Times New Roman" w:cs="Times New Roman"/>
          <w:sz w:val="28"/>
          <w:szCs w:val="28"/>
        </w:rPr>
        <w:t>) / Н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>) / (∑ НП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/ Н)) / КРП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>,</w:t>
      </w:r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  <w:vertAlign w:val="superscript"/>
        </w:rPr>
        <w:t>=1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D1537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B2C8A" w:rsidRPr="00D1537A" w:rsidRDefault="00DB2C8A" w:rsidP="00DB2C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C8A" w:rsidRDefault="00DB2C8A" w:rsidP="00DB2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</w:rPr>
        <w:t>Ф2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i(t-1)</w:t>
      </w:r>
      <w:r>
        <w:rPr>
          <w:rFonts w:ascii="Times New Roman" w:eastAsiaTheme="minorHAnsi" w:hAnsi="Times New Roman"/>
          <w:sz w:val="28"/>
          <w:szCs w:val="28"/>
        </w:rPr>
        <w:t xml:space="preserve"> - объем дотаций, распределенный i-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поселению исходя из необходимости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на этапах, предшествующих очередному этапу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5. </w:t>
      </w:r>
      <w:r w:rsidRPr="00D1537A">
        <w:rPr>
          <w:rFonts w:ascii="Times New Roman" w:hAnsi="Times New Roman" w:cs="Times New Roman"/>
          <w:sz w:val="28"/>
          <w:szCs w:val="28"/>
        </w:rPr>
        <w:t>Налоговый</w:t>
      </w:r>
      <w:r w:rsidRPr="00A677D1">
        <w:rPr>
          <w:rFonts w:ascii="Times New Roman" w:hAnsi="Times New Roman" w:cs="Times New Roman"/>
          <w:sz w:val="28"/>
          <w:szCs w:val="28"/>
        </w:rPr>
        <w:t xml:space="preserve"> потенциал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9" w:history="1">
        <w:r w:rsidRPr="00D1537A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D1537A">
        <w:rPr>
          <w:rFonts w:ascii="Times New Roman" w:hAnsi="Times New Roman" w:cs="Times New Roman"/>
          <w:sz w:val="28"/>
          <w:szCs w:val="28"/>
        </w:rPr>
        <w:t xml:space="preserve"> З</w:t>
      </w:r>
      <w:r w:rsidRPr="00A677D1">
        <w:rPr>
          <w:rFonts w:ascii="Times New Roman" w:hAnsi="Times New Roman" w:cs="Times New Roman"/>
          <w:sz w:val="28"/>
          <w:szCs w:val="28"/>
        </w:rPr>
        <w:t>акона Омской области от 27 июля 2007 года N 947-ОЗ "О межбюджетных отношениях в Омской области".</w:t>
      </w: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>.</w:t>
      </w:r>
    </w:p>
    <w:p w:rsidR="00A677D1" w:rsidRPr="00A677D1" w:rsidRDefault="00D1537A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677D1" w:rsidRPr="00A677D1">
        <w:rPr>
          <w:rFonts w:ascii="Times New Roman" w:hAnsi="Times New Roman" w:cs="Times New Roman"/>
          <w:sz w:val="28"/>
          <w:szCs w:val="28"/>
        </w:rPr>
        <w:t xml:space="preserve">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="00A677D1" w:rsidRPr="00A677D1">
        <w:rPr>
          <w:rFonts w:ascii="Times New Roman" w:hAnsi="Times New Roman" w:cs="Times New Roman"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="00A677D1" w:rsidRPr="00A677D1">
        <w:rPr>
          <w:rFonts w:ascii="Times New Roman" w:hAnsi="Times New Roman" w:cs="Times New Roman"/>
          <w:sz w:val="28"/>
          <w:szCs w:val="28"/>
        </w:rPr>
        <w:t>, которые рассчитываются по следующей методике: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Фк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НДФЛ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lastRenderedPageBreak/>
        <w:t>НДФЛ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A677D1" w:rsidRPr="00A677D1" w:rsidRDefault="00A677D1" w:rsidP="00A677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C75E84D" wp14:editId="025DD4CD">
            <wp:extent cx="119062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4B9757E" wp14:editId="39DD4562">
            <wp:extent cx="27622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8BB8C93" wp14:editId="4E0CEAA6">
            <wp:extent cx="361950" cy="27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A677D1" w:rsidRPr="00A677D1" w:rsidRDefault="00D1537A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77D1" w:rsidRPr="00A677D1">
        <w:rPr>
          <w:rFonts w:ascii="Times New Roman" w:hAnsi="Times New Roman" w:cs="Times New Roman"/>
          <w:sz w:val="28"/>
          <w:szCs w:val="28"/>
        </w:rPr>
        <w:t>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A677D1" w:rsidRPr="00A677D1" w:rsidRDefault="00A677D1" w:rsidP="00A677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A6" w:rsidRPr="00A677D1" w:rsidRDefault="00E305A6">
      <w:pPr>
        <w:rPr>
          <w:rFonts w:ascii="Times New Roman" w:hAnsi="Times New Roman"/>
          <w:sz w:val="28"/>
          <w:szCs w:val="28"/>
        </w:rPr>
      </w:pPr>
    </w:p>
    <w:sectPr w:rsidR="00E305A6" w:rsidRPr="00A677D1" w:rsidSect="001A52E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40"/>
    <w:rsid w:val="00183AF7"/>
    <w:rsid w:val="001A52E0"/>
    <w:rsid w:val="00391D0D"/>
    <w:rsid w:val="00672940"/>
    <w:rsid w:val="009579E9"/>
    <w:rsid w:val="009877ED"/>
    <w:rsid w:val="00A55A53"/>
    <w:rsid w:val="00A677D1"/>
    <w:rsid w:val="00AA6C33"/>
    <w:rsid w:val="00D1537A"/>
    <w:rsid w:val="00DB2C8A"/>
    <w:rsid w:val="00E305A6"/>
    <w:rsid w:val="00E877DE"/>
    <w:rsid w:val="00F8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159945&amp;date=13.08.2021&amp;dst=100327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PTN</cp:lastModifiedBy>
  <cp:revision>16</cp:revision>
  <dcterms:created xsi:type="dcterms:W3CDTF">2020-11-30T04:36:00Z</dcterms:created>
  <dcterms:modified xsi:type="dcterms:W3CDTF">2023-11-08T11:29:00Z</dcterms:modified>
</cp:coreProperties>
</file>